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84" w:rsidRDefault="00B47984" w:rsidP="00B47984">
      <w:pPr>
        <w:pStyle w:val="BodyTextFirstIndent1"/>
        <w:ind w:firstLineChars="0" w:firstLine="0"/>
        <w:jc w:val="center"/>
        <w:rPr>
          <w:rFonts w:ascii="仿宋" w:eastAsia="仿宋" w:hAnsi="仿宋" w:cs="仿宋"/>
          <w:b w:val="0"/>
          <w:bCs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color w:val="000000" w:themeColor="text1"/>
          <w:sz w:val="36"/>
          <w:szCs w:val="36"/>
        </w:rPr>
        <w:t>二级学院校企合作年度目标考评体系</w:t>
      </w:r>
    </w:p>
    <w:tbl>
      <w:tblPr>
        <w:tblStyle w:val="a7"/>
        <w:tblW w:w="14114" w:type="dxa"/>
        <w:jc w:val="center"/>
        <w:tblLayout w:type="fixed"/>
        <w:tblLook w:val="04A0"/>
      </w:tblPr>
      <w:tblGrid>
        <w:gridCol w:w="646"/>
        <w:gridCol w:w="1888"/>
        <w:gridCol w:w="672"/>
        <w:gridCol w:w="7613"/>
        <w:gridCol w:w="1763"/>
        <w:gridCol w:w="1532"/>
      </w:tblGrid>
      <w:tr w:rsidR="00B47984" w:rsidTr="0083273C">
        <w:trPr>
          <w:trHeight w:val="617"/>
          <w:jc w:val="center"/>
        </w:trPr>
        <w:tc>
          <w:tcPr>
            <w:tcW w:w="2534" w:type="dxa"/>
            <w:gridSpan w:val="2"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</w:rPr>
              <w:t>工作目标</w:t>
            </w:r>
          </w:p>
        </w:tc>
        <w:tc>
          <w:tcPr>
            <w:tcW w:w="672" w:type="dxa"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</w:rPr>
              <w:t>满分</w:t>
            </w:r>
          </w:p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</w:rPr>
              <w:t>分值</w:t>
            </w:r>
          </w:p>
        </w:tc>
        <w:tc>
          <w:tcPr>
            <w:tcW w:w="7613" w:type="dxa"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</w:rPr>
              <w:t>目标说明</w:t>
            </w:r>
          </w:p>
        </w:tc>
        <w:tc>
          <w:tcPr>
            <w:tcW w:w="1763" w:type="dxa"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</w:rPr>
              <w:t>二级学院</w:t>
            </w:r>
          </w:p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</w:rPr>
              <w:t>考评得分</w:t>
            </w:r>
          </w:p>
        </w:tc>
        <w:tc>
          <w:tcPr>
            <w:tcW w:w="1532" w:type="dxa"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</w:rPr>
              <w:t>备注</w:t>
            </w:r>
          </w:p>
        </w:tc>
      </w:tr>
      <w:tr w:rsidR="00B47984" w:rsidTr="0083273C">
        <w:trPr>
          <w:trHeight w:val="617"/>
          <w:jc w:val="center"/>
        </w:trPr>
        <w:tc>
          <w:tcPr>
            <w:tcW w:w="646" w:type="dxa"/>
            <w:vMerge w:val="restart"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</w:rPr>
              <w:t>过程目标</w:t>
            </w:r>
          </w:p>
        </w:tc>
        <w:tc>
          <w:tcPr>
            <w:tcW w:w="1888" w:type="dxa"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b w:val="0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建立校企定期联络机制</w:t>
            </w:r>
          </w:p>
        </w:tc>
        <w:tc>
          <w:tcPr>
            <w:tcW w:w="672" w:type="dxa"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b w:val="0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613" w:type="dxa"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根据完成情况分为A、B、C三等，A等：已备案建档的企业每学期联系不少于1次，且建立了联系档案；B等：已备案建档的企业学期内没有全面联系，或未建立完善的联系档案；C等：未建立</w:t>
            </w:r>
          </w:p>
        </w:tc>
        <w:tc>
          <w:tcPr>
            <w:tcW w:w="1763" w:type="dxa"/>
            <w:vMerge w:val="restart"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A=7</w:t>
            </w:r>
          </w:p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B=4</w:t>
            </w:r>
          </w:p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C=0</w:t>
            </w:r>
          </w:p>
        </w:tc>
        <w:tc>
          <w:tcPr>
            <w:tcW w:w="1532" w:type="dxa"/>
            <w:vMerge w:val="restart"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由院有关领导、党政办、招生就业处、教务处、教学督导室等部门根据资料及现场情况定等</w:t>
            </w:r>
          </w:p>
        </w:tc>
      </w:tr>
      <w:tr w:rsidR="00B47984" w:rsidTr="0083273C">
        <w:trPr>
          <w:trHeight w:val="617"/>
          <w:jc w:val="center"/>
        </w:trPr>
        <w:tc>
          <w:tcPr>
            <w:tcW w:w="646" w:type="dxa"/>
            <w:vMerge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</w:p>
        </w:tc>
        <w:tc>
          <w:tcPr>
            <w:tcW w:w="1888" w:type="dxa"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b w:val="0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定期召开校企合作交流活动</w:t>
            </w:r>
          </w:p>
        </w:tc>
        <w:tc>
          <w:tcPr>
            <w:tcW w:w="672" w:type="dxa"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b w:val="0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613" w:type="dxa"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根据完成情况分为A、B、C三等，A等：已召开，活动组织质量较高；B等：已召开，但活动组织质量一般；C等：未召开</w:t>
            </w:r>
          </w:p>
        </w:tc>
        <w:tc>
          <w:tcPr>
            <w:tcW w:w="1763" w:type="dxa"/>
            <w:vMerge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</w:p>
        </w:tc>
        <w:tc>
          <w:tcPr>
            <w:tcW w:w="1532" w:type="dxa"/>
            <w:vMerge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</w:p>
        </w:tc>
      </w:tr>
      <w:tr w:rsidR="00B47984" w:rsidTr="0083273C">
        <w:trPr>
          <w:trHeight w:val="617"/>
          <w:jc w:val="center"/>
        </w:trPr>
        <w:tc>
          <w:tcPr>
            <w:tcW w:w="646" w:type="dxa"/>
            <w:vMerge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</w:p>
        </w:tc>
        <w:tc>
          <w:tcPr>
            <w:tcW w:w="1888" w:type="dxa"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b w:val="0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积极开展企业走访调研</w:t>
            </w:r>
          </w:p>
        </w:tc>
        <w:tc>
          <w:tcPr>
            <w:tcW w:w="672" w:type="dxa"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b w:val="0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613" w:type="dxa"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根据完成情况分为A、B、C三等，A等：已完成调研走访规定的企业数量，资料收集较好；B等：未完成调研走访规定的企业数量，或资料收集缺口较大；C等：未开展</w:t>
            </w:r>
          </w:p>
        </w:tc>
        <w:tc>
          <w:tcPr>
            <w:tcW w:w="1763" w:type="dxa"/>
            <w:vMerge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</w:p>
        </w:tc>
        <w:tc>
          <w:tcPr>
            <w:tcW w:w="1532" w:type="dxa"/>
            <w:vMerge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</w:p>
        </w:tc>
      </w:tr>
      <w:tr w:rsidR="00B47984" w:rsidTr="0083273C">
        <w:trPr>
          <w:trHeight w:val="617"/>
          <w:jc w:val="center"/>
        </w:trPr>
        <w:tc>
          <w:tcPr>
            <w:tcW w:w="646" w:type="dxa"/>
            <w:vMerge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</w:p>
        </w:tc>
        <w:tc>
          <w:tcPr>
            <w:tcW w:w="1888" w:type="dxa"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b w:val="0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color w:val="000000" w:themeColor="text1"/>
                <w:kern w:val="0"/>
                <w:sz w:val="21"/>
                <w:szCs w:val="21"/>
              </w:rPr>
              <w:t>共建技术技能创新平台</w:t>
            </w:r>
          </w:p>
        </w:tc>
        <w:tc>
          <w:tcPr>
            <w:tcW w:w="672" w:type="dxa"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b w:val="0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613" w:type="dxa"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根据完成情况分为A、B、C、D四等，A等：已建立，有效服务项目达到5个/年；B等：已建立，有效服务项目达到3个/年；C等：已建立，有效服务项目不足3个/年；D等：未建立</w:t>
            </w:r>
          </w:p>
        </w:tc>
        <w:tc>
          <w:tcPr>
            <w:tcW w:w="1763" w:type="dxa"/>
            <w:vMerge w:val="restart"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A=8</w:t>
            </w:r>
          </w:p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B=6</w:t>
            </w:r>
          </w:p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C=3</w:t>
            </w:r>
          </w:p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D=0</w:t>
            </w:r>
          </w:p>
        </w:tc>
        <w:tc>
          <w:tcPr>
            <w:tcW w:w="1532" w:type="dxa"/>
            <w:vMerge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</w:p>
        </w:tc>
      </w:tr>
      <w:tr w:rsidR="00B47984" w:rsidTr="0083273C">
        <w:trPr>
          <w:trHeight w:val="617"/>
          <w:jc w:val="center"/>
        </w:trPr>
        <w:tc>
          <w:tcPr>
            <w:tcW w:w="646" w:type="dxa"/>
            <w:vMerge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</w:p>
        </w:tc>
        <w:tc>
          <w:tcPr>
            <w:tcW w:w="1888" w:type="dxa"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b w:val="0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积极推进产业学院建设</w:t>
            </w:r>
          </w:p>
        </w:tc>
        <w:tc>
          <w:tcPr>
            <w:tcW w:w="672" w:type="dxa"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b w:val="0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7613" w:type="dxa"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根据完成情况分为A、B、C、D四等，A等：已建立，学生总数达到200人；B等：已建立，且已招生；C等：已建立，尚未招生；D等：未建立</w:t>
            </w:r>
          </w:p>
        </w:tc>
        <w:tc>
          <w:tcPr>
            <w:tcW w:w="1763" w:type="dxa"/>
            <w:vMerge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</w:p>
        </w:tc>
        <w:tc>
          <w:tcPr>
            <w:tcW w:w="1532" w:type="dxa"/>
            <w:vMerge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</w:p>
        </w:tc>
      </w:tr>
      <w:tr w:rsidR="00B47984" w:rsidTr="0083273C">
        <w:trPr>
          <w:trHeight w:val="617"/>
          <w:jc w:val="center"/>
        </w:trPr>
        <w:tc>
          <w:tcPr>
            <w:tcW w:w="646" w:type="dxa"/>
            <w:vMerge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</w:p>
        </w:tc>
        <w:tc>
          <w:tcPr>
            <w:tcW w:w="1888" w:type="dxa"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b w:val="0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积极开展订单班建设</w:t>
            </w:r>
          </w:p>
        </w:tc>
        <w:tc>
          <w:tcPr>
            <w:tcW w:w="672" w:type="dxa"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b w:val="0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7613" w:type="dxa"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订单班标准：签订协议，且当年招生20人以上。如合作企业规定招生人数在20人以下的，以规定招生数为合格标准</w:t>
            </w:r>
          </w:p>
        </w:tc>
        <w:tc>
          <w:tcPr>
            <w:tcW w:w="1763" w:type="dxa"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每个订单班加2分，加满10分为止</w:t>
            </w:r>
          </w:p>
        </w:tc>
        <w:tc>
          <w:tcPr>
            <w:tcW w:w="1532" w:type="dxa"/>
            <w:vMerge/>
            <w:vAlign w:val="center"/>
          </w:tcPr>
          <w:p w:rsidR="00B47984" w:rsidRDefault="00B47984" w:rsidP="0083273C">
            <w:pPr>
              <w:pStyle w:val="BodyTextFirstIndent1"/>
              <w:spacing w:line="300" w:lineRule="exact"/>
              <w:ind w:firstLineChars="0" w:firstLine="0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</w:p>
        </w:tc>
      </w:tr>
      <w:tr w:rsidR="00B47984" w:rsidTr="0083273C">
        <w:trPr>
          <w:trHeight w:val="332"/>
          <w:jc w:val="center"/>
        </w:trPr>
        <w:tc>
          <w:tcPr>
            <w:tcW w:w="646" w:type="dxa"/>
            <w:vMerge w:val="restart"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</w:rPr>
              <w:t>结果目标</w:t>
            </w:r>
          </w:p>
        </w:tc>
        <w:tc>
          <w:tcPr>
            <w:tcW w:w="1888" w:type="dxa"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学生就业率</w:t>
            </w:r>
          </w:p>
        </w:tc>
        <w:tc>
          <w:tcPr>
            <w:tcW w:w="672" w:type="dxa"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7613" w:type="dxa"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应届毕业生就业率（统计口径与教育厅要求相同），达到100%为满分</w:t>
            </w:r>
          </w:p>
        </w:tc>
        <w:tc>
          <w:tcPr>
            <w:tcW w:w="1763" w:type="dxa"/>
            <w:vMerge w:val="restart"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A/B</w:t>
            </w:r>
            <w:r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×C（A代表满分分值；B代表各考核项目满分目标比例；C代表各二级学院实际达到比例）</w:t>
            </w:r>
          </w:p>
        </w:tc>
        <w:tc>
          <w:tcPr>
            <w:tcW w:w="1532" w:type="dxa"/>
            <w:vMerge w:val="restart"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由招生就业处9月份统计，统计截止时间为8月31日</w:t>
            </w:r>
          </w:p>
        </w:tc>
      </w:tr>
      <w:tr w:rsidR="00B47984" w:rsidTr="0083273C">
        <w:trPr>
          <w:trHeight w:val="314"/>
          <w:jc w:val="center"/>
        </w:trPr>
        <w:tc>
          <w:tcPr>
            <w:tcW w:w="646" w:type="dxa"/>
            <w:vMerge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left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</w:p>
        </w:tc>
        <w:tc>
          <w:tcPr>
            <w:tcW w:w="1888" w:type="dxa"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学生就业专业</w:t>
            </w:r>
          </w:p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对口率</w:t>
            </w:r>
          </w:p>
        </w:tc>
        <w:tc>
          <w:tcPr>
            <w:tcW w:w="672" w:type="dxa"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613" w:type="dxa"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left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应届毕业生在专业群范围内就业的比例，分子是在专业群内就业的学生数（含专升本学生数），分母是毕业生总数，达到70%为满分</w:t>
            </w:r>
          </w:p>
        </w:tc>
        <w:tc>
          <w:tcPr>
            <w:tcW w:w="1763" w:type="dxa"/>
            <w:vMerge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</w:p>
        </w:tc>
        <w:tc>
          <w:tcPr>
            <w:tcW w:w="1532" w:type="dxa"/>
            <w:vMerge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</w:p>
        </w:tc>
      </w:tr>
      <w:tr w:rsidR="00B47984" w:rsidTr="0083273C">
        <w:trPr>
          <w:trHeight w:val="314"/>
          <w:jc w:val="center"/>
        </w:trPr>
        <w:tc>
          <w:tcPr>
            <w:tcW w:w="646" w:type="dxa"/>
            <w:vMerge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left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</w:p>
        </w:tc>
        <w:tc>
          <w:tcPr>
            <w:tcW w:w="1888" w:type="dxa"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学生就业满意率</w:t>
            </w:r>
          </w:p>
        </w:tc>
        <w:tc>
          <w:tcPr>
            <w:tcW w:w="672" w:type="dxa"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613" w:type="dxa"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left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在已就业的应届毕业生中测评，分子是对就业单位较满意及以上（测评分为满意、较满意、不满意3档）的学生，分母是参加测评的学生总数，满意率达到95%为满分</w:t>
            </w:r>
          </w:p>
        </w:tc>
        <w:tc>
          <w:tcPr>
            <w:tcW w:w="1763" w:type="dxa"/>
            <w:vMerge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</w:p>
        </w:tc>
        <w:tc>
          <w:tcPr>
            <w:tcW w:w="1532" w:type="dxa"/>
            <w:vMerge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</w:p>
        </w:tc>
      </w:tr>
      <w:tr w:rsidR="00B47984" w:rsidTr="0083273C">
        <w:trPr>
          <w:trHeight w:val="314"/>
          <w:jc w:val="center"/>
        </w:trPr>
        <w:tc>
          <w:tcPr>
            <w:tcW w:w="646" w:type="dxa"/>
            <w:vMerge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left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</w:p>
        </w:tc>
        <w:tc>
          <w:tcPr>
            <w:tcW w:w="1888" w:type="dxa"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雇主满意率</w:t>
            </w:r>
          </w:p>
        </w:tc>
        <w:tc>
          <w:tcPr>
            <w:tcW w:w="672" w:type="dxa"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613" w:type="dxa"/>
            <w:vAlign w:val="center"/>
          </w:tcPr>
          <w:p w:rsidR="00B47984" w:rsidRDefault="00B47984" w:rsidP="0083273C">
            <w:pPr>
              <w:rPr>
                <w:rFonts w:ascii="仿宋" w:eastAsia="仿宋" w:hAnsi="仿宋" w:cs="仿宋"/>
                <w:bCs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eastAsia="zh-TW" w:bidi="zh-TW"/>
              </w:rPr>
              <w:t>指录用应届毕业生的单位或部门对录用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zh-TW"/>
              </w:rPr>
              <w:t>我院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eastAsia="zh-TW" w:bidi="zh-TW"/>
              </w:rPr>
              <w:t>学生的满意度评价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zh-TW"/>
              </w:rPr>
              <w:t>，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1"/>
                <w:szCs w:val="21"/>
              </w:rPr>
              <w:t>分子是较满意及以上（测评分为满意、较满意、不满意3档）的企业，分母是所有参与测评的企业，企业满意率达到95%为满分</w:t>
            </w:r>
          </w:p>
        </w:tc>
        <w:tc>
          <w:tcPr>
            <w:tcW w:w="1763" w:type="dxa"/>
            <w:vMerge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</w:p>
        </w:tc>
        <w:tc>
          <w:tcPr>
            <w:tcW w:w="1532" w:type="dxa"/>
            <w:vMerge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</w:p>
        </w:tc>
      </w:tr>
      <w:tr w:rsidR="00B47984" w:rsidTr="0083273C">
        <w:trPr>
          <w:trHeight w:val="314"/>
          <w:jc w:val="center"/>
        </w:trPr>
        <w:tc>
          <w:tcPr>
            <w:tcW w:w="646" w:type="dxa"/>
            <w:vMerge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left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</w:p>
        </w:tc>
        <w:tc>
          <w:tcPr>
            <w:tcW w:w="1888" w:type="dxa"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一年内离职率</w:t>
            </w:r>
          </w:p>
        </w:tc>
        <w:tc>
          <w:tcPr>
            <w:tcW w:w="672" w:type="dxa"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613" w:type="dxa"/>
            <w:vAlign w:val="center"/>
          </w:tcPr>
          <w:p w:rsidR="00B47984" w:rsidRDefault="00B47984" w:rsidP="0083273C">
            <w:pPr>
              <w:rPr>
                <w:rFonts w:ascii="仿宋" w:eastAsia="仿宋" w:hAnsi="仿宋" w:cs="仿宋"/>
                <w:color w:val="000000" w:themeColor="text1"/>
                <w:lang w:eastAsia="zh-TW" w:bidi="zh-TW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eastAsia="zh-TW" w:bidi="en-US"/>
              </w:rPr>
              <w:t>指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en-US"/>
              </w:rPr>
              <w:t>上一届毕业生（如2022年考核二级学院，则统计2021届毕业生）的离职率，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eastAsia="zh-TW" w:bidi="en-US"/>
              </w:rPr>
              <w:t>分母是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en-US"/>
              </w:rPr>
              <w:t>上一届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eastAsia="zh-TW" w:bidi="en-US"/>
              </w:rPr>
              <w:t>毕业生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en-US"/>
              </w:rPr>
              <w:t>初次就业总人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eastAsia="zh-TW" w:bidi="en-US"/>
              </w:rPr>
              <w:t>数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en-US"/>
              </w:rPr>
              <w:t>（按签订三方协议统计）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eastAsia="zh-TW" w:bidi="en-US"/>
              </w:rPr>
              <w:t>，分子是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en-US"/>
              </w:rPr>
              <w:t>到统计截止时间离开初次就业企业的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eastAsia="zh-TW" w:bidi="en-US"/>
              </w:rPr>
              <w:t>毕业生数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en-US"/>
              </w:rPr>
              <w:t>（不包括在原企业转岗的人数）。离职率低于30%为满分。</w:t>
            </w:r>
          </w:p>
        </w:tc>
        <w:tc>
          <w:tcPr>
            <w:tcW w:w="1763" w:type="dxa"/>
            <w:vMerge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</w:p>
        </w:tc>
        <w:tc>
          <w:tcPr>
            <w:tcW w:w="1532" w:type="dxa"/>
            <w:vMerge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</w:p>
        </w:tc>
      </w:tr>
      <w:tr w:rsidR="00B47984" w:rsidTr="0083273C">
        <w:trPr>
          <w:trHeight w:val="314"/>
          <w:jc w:val="center"/>
        </w:trPr>
        <w:tc>
          <w:tcPr>
            <w:tcW w:w="646" w:type="dxa"/>
            <w:vMerge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left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</w:p>
        </w:tc>
        <w:tc>
          <w:tcPr>
            <w:tcW w:w="1888" w:type="dxa"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一年内晋升比例</w:t>
            </w:r>
          </w:p>
        </w:tc>
        <w:tc>
          <w:tcPr>
            <w:tcW w:w="672" w:type="dxa"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613" w:type="dxa"/>
            <w:vAlign w:val="center"/>
          </w:tcPr>
          <w:p w:rsidR="00B47984" w:rsidRDefault="00B47984" w:rsidP="0083273C">
            <w:pPr>
              <w:rPr>
                <w:rFonts w:ascii="仿宋" w:eastAsia="仿宋" w:hAnsi="仿宋" w:cs="仿宋"/>
                <w:bCs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eastAsia="zh-TW" w:bidi="en-US"/>
              </w:rPr>
              <w:t>指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en-US"/>
              </w:rPr>
              <w:t>一年前毕业生（如2022年考核二级学院，则统计2021届毕业生）有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eastAsia="zh-TW" w:bidi="en-US"/>
              </w:rPr>
              <w:t>过职位晋升的比例。分母是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en-US"/>
              </w:rPr>
              <w:t>一年前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eastAsia="zh-TW" w:bidi="en-US"/>
              </w:rPr>
              <w:t>毕业生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en-US"/>
              </w:rPr>
              <w:t>总人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eastAsia="zh-TW" w:bidi="en-US"/>
              </w:rPr>
              <w:t>数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en-US"/>
              </w:rPr>
              <w:t>（扣除专生本人数）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eastAsia="zh-TW" w:bidi="en-US"/>
              </w:rPr>
              <w:t>，分子是毕业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en-US"/>
              </w:rPr>
              <w:t>一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eastAsia="zh-TW" w:bidi="en-US"/>
              </w:rPr>
              <w:t>年后有过职位晋升毕业生数，其中，职位晋升形式可包含职级的增加、管理权限的扩大、专业职称的提升及由此带来的薪资提高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en-US"/>
              </w:rPr>
              <w:t>（薪资提高是必要条件）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eastAsia="zh-TW" w:bidi="en-US"/>
              </w:rPr>
              <w:t>。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en-US"/>
              </w:rPr>
              <w:t>晋升比例达到50%为满分。</w:t>
            </w:r>
          </w:p>
        </w:tc>
        <w:tc>
          <w:tcPr>
            <w:tcW w:w="1763" w:type="dxa"/>
            <w:vMerge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</w:p>
        </w:tc>
        <w:tc>
          <w:tcPr>
            <w:tcW w:w="1532" w:type="dxa"/>
            <w:vMerge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</w:p>
        </w:tc>
      </w:tr>
      <w:tr w:rsidR="00B47984" w:rsidTr="0083273C">
        <w:trPr>
          <w:trHeight w:val="314"/>
          <w:jc w:val="center"/>
        </w:trPr>
        <w:tc>
          <w:tcPr>
            <w:tcW w:w="646" w:type="dxa"/>
            <w:vMerge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left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</w:p>
        </w:tc>
        <w:tc>
          <w:tcPr>
            <w:tcW w:w="1888" w:type="dxa"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毕业生月收入</w:t>
            </w:r>
          </w:p>
        </w:tc>
        <w:tc>
          <w:tcPr>
            <w:tcW w:w="672" w:type="dxa"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613" w:type="dxa"/>
            <w:vAlign w:val="center"/>
          </w:tcPr>
          <w:p w:rsidR="00B47984" w:rsidRDefault="00B47984" w:rsidP="0083273C">
            <w:pPr>
              <w:rPr>
                <w:rFonts w:ascii="仿宋" w:eastAsia="仿宋" w:hAnsi="仿宋" w:cs="仿宋"/>
                <w:color w:val="000000" w:themeColor="text1"/>
                <w:lang w:eastAsia="zh-TW" w:bidi="en-US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zh-TW"/>
              </w:rPr>
              <w:t>应届已就业毕业生8月份平均月收入。月收入指</w:t>
            </w: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eastAsia="zh-TW" w:bidi="zh-TW"/>
              </w:rPr>
              <w:t>包含奖金、提成、住宿、住房公积金等折算成的现金总和。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1"/>
                <w:szCs w:val="21"/>
                <w:lang w:bidi="zh-TW"/>
              </w:rPr>
              <w:t>排名第一的二级学院得满分</w:t>
            </w:r>
          </w:p>
        </w:tc>
        <w:tc>
          <w:tcPr>
            <w:tcW w:w="1763" w:type="dxa"/>
            <w:vMerge w:val="restart"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A</w:t>
            </w:r>
            <w:r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×(B</w:t>
            </w: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/C)</w:t>
            </w:r>
          </w:p>
          <w:p w:rsidR="00B47984" w:rsidRDefault="00B47984" w:rsidP="0083273C">
            <w:pPr>
              <w:pStyle w:val="BodyTextFirstIndent1"/>
              <w:ind w:firstLineChars="0" w:firstLine="0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其中A代表满分值；B代表各二级学院实际收入额，C代表排名第一收入额</w:t>
            </w:r>
          </w:p>
        </w:tc>
        <w:tc>
          <w:tcPr>
            <w:tcW w:w="1532" w:type="dxa"/>
            <w:vMerge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</w:p>
        </w:tc>
      </w:tr>
      <w:tr w:rsidR="00B47984" w:rsidTr="0083273C">
        <w:trPr>
          <w:trHeight w:val="314"/>
          <w:jc w:val="center"/>
        </w:trPr>
        <w:tc>
          <w:tcPr>
            <w:tcW w:w="646" w:type="dxa"/>
            <w:vMerge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</w:p>
        </w:tc>
        <w:tc>
          <w:tcPr>
            <w:tcW w:w="1888" w:type="dxa"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企业培训总收入</w:t>
            </w:r>
          </w:p>
        </w:tc>
        <w:tc>
          <w:tcPr>
            <w:tcW w:w="672" w:type="dxa"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7613" w:type="dxa"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指开展企业培训服务，企业支付的培训费当年进入财务账的总额。排名第一的二级学院得满分。</w:t>
            </w:r>
          </w:p>
        </w:tc>
        <w:tc>
          <w:tcPr>
            <w:tcW w:w="1763" w:type="dxa"/>
            <w:vMerge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由继续教育学院和科研中心统计，统计截止时间为12月31日</w:t>
            </w:r>
          </w:p>
        </w:tc>
      </w:tr>
      <w:tr w:rsidR="00B47984" w:rsidTr="0083273C">
        <w:trPr>
          <w:trHeight w:val="697"/>
          <w:jc w:val="center"/>
        </w:trPr>
        <w:tc>
          <w:tcPr>
            <w:tcW w:w="646" w:type="dxa"/>
            <w:vMerge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</w:p>
        </w:tc>
        <w:tc>
          <w:tcPr>
            <w:tcW w:w="1888" w:type="dxa"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企业技术服务</w:t>
            </w:r>
          </w:p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总收入</w:t>
            </w:r>
          </w:p>
        </w:tc>
        <w:tc>
          <w:tcPr>
            <w:tcW w:w="672" w:type="dxa"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7613" w:type="dxa"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1"/>
                <w:szCs w:val="21"/>
              </w:rPr>
              <w:t>指为企业开展技术服务，企业支付的技术服务费用当年进入财务账的总额。排名第一的二级学院得满分。</w:t>
            </w:r>
          </w:p>
        </w:tc>
        <w:tc>
          <w:tcPr>
            <w:tcW w:w="1763" w:type="dxa"/>
            <w:vMerge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</w:p>
        </w:tc>
        <w:tc>
          <w:tcPr>
            <w:tcW w:w="1532" w:type="dxa"/>
            <w:vMerge/>
            <w:vAlign w:val="center"/>
          </w:tcPr>
          <w:p w:rsidR="00B47984" w:rsidRDefault="00B47984" w:rsidP="0083273C">
            <w:pPr>
              <w:pStyle w:val="BodyTextFirstIndent1"/>
              <w:ind w:firstLineChars="0" w:firstLine="0"/>
              <w:jc w:val="center"/>
              <w:rPr>
                <w:rFonts w:ascii="仿宋" w:eastAsia="仿宋" w:hAnsi="仿宋" w:cs="仿宋"/>
                <w:b w:val="0"/>
                <w:bCs/>
                <w:color w:val="000000" w:themeColor="text1"/>
                <w:sz w:val="21"/>
              </w:rPr>
            </w:pPr>
          </w:p>
        </w:tc>
      </w:tr>
    </w:tbl>
    <w:p w:rsidR="00B47984" w:rsidRDefault="00B47984" w:rsidP="00B47984">
      <w:pPr>
        <w:pStyle w:val="BodyTextFirstIndent1"/>
        <w:ind w:firstLineChars="0" w:firstLine="0"/>
        <w:rPr>
          <w:rFonts w:ascii="仿宋" w:eastAsia="仿宋" w:hAnsi="仿宋" w:cs="仿宋"/>
          <w:b w:val="0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 w:val="0"/>
          <w:bCs/>
          <w:color w:val="000000" w:themeColor="text1"/>
          <w:sz w:val="21"/>
          <w:szCs w:val="21"/>
        </w:rPr>
        <w:t>说明：涉及学生的统计项目统计范围为普通高职生，其他学生不统计。</w:t>
      </w:r>
    </w:p>
    <w:p w:rsidR="004358AB" w:rsidRPr="00B47984" w:rsidRDefault="004358AB" w:rsidP="00B47984"/>
    <w:sectPr w:rsidR="004358AB" w:rsidRPr="00B47984" w:rsidSect="0049307A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D7E" w:rsidRDefault="008A7D7E" w:rsidP="00C06AD0">
      <w:pPr>
        <w:spacing w:after="0"/>
      </w:pPr>
      <w:r>
        <w:separator/>
      </w:r>
    </w:p>
  </w:endnote>
  <w:endnote w:type="continuationSeparator" w:id="0">
    <w:p w:rsidR="008A7D7E" w:rsidRDefault="008A7D7E" w:rsidP="00C06A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7A" w:rsidRDefault="0049307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8193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49307A" w:rsidRDefault="0049307A">
                <w:pPr>
                  <w:pStyle w:val="a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D02FE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4798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D7E" w:rsidRDefault="008A7D7E" w:rsidP="00C06AD0">
      <w:pPr>
        <w:spacing w:after="0"/>
      </w:pPr>
      <w:r>
        <w:separator/>
      </w:r>
    </w:p>
  </w:footnote>
  <w:footnote w:type="continuationSeparator" w:id="0">
    <w:p w:rsidR="008A7D7E" w:rsidRDefault="008A7D7E" w:rsidP="00C06AD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9307A"/>
    <w:rsid w:val="006054E5"/>
    <w:rsid w:val="008A7D7E"/>
    <w:rsid w:val="008B7726"/>
    <w:rsid w:val="009C6DFA"/>
    <w:rsid w:val="00B47984"/>
    <w:rsid w:val="00C06AD0"/>
    <w:rsid w:val="00C23E89"/>
    <w:rsid w:val="00D02FEB"/>
    <w:rsid w:val="00D31D50"/>
    <w:rsid w:val="00D8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6AD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6AD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C06AD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6AD0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C06AD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C06AD0"/>
    <w:rPr>
      <w:b/>
      <w:bCs/>
    </w:rPr>
  </w:style>
  <w:style w:type="paragraph" w:customStyle="1" w:styleId="BodyTextFirstIndent1">
    <w:name w:val="Body Text First Indent1"/>
    <w:basedOn w:val="a"/>
    <w:qFormat/>
    <w:rsid w:val="00C23E89"/>
    <w:pPr>
      <w:widowControl w:val="0"/>
      <w:adjustRightInd/>
      <w:snapToGrid/>
      <w:spacing w:after="0"/>
      <w:ind w:firstLineChars="100" w:firstLine="100"/>
      <w:jc w:val="both"/>
    </w:pPr>
    <w:rPr>
      <w:rFonts w:ascii="Calibri" w:eastAsia="宋体" w:hAnsi="Calibri" w:cs="Times New Roman"/>
      <w:b/>
      <w:kern w:val="2"/>
      <w:sz w:val="44"/>
      <w:szCs w:val="24"/>
    </w:rPr>
  </w:style>
  <w:style w:type="table" w:styleId="a7">
    <w:name w:val="Table Grid"/>
    <w:basedOn w:val="a1"/>
    <w:uiPriority w:val="39"/>
    <w:qFormat/>
    <w:rsid w:val="00C23E8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2022-11-11T13:07:00Z</dcterms:modified>
</cp:coreProperties>
</file>